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8D" w:rsidRPr="00204639" w:rsidRDefault="005A078D" w:rsidP="00182805">
      <w:pPr>
        <w:tabs>
          <w:tab w:val="left" w:pos="993"/>
        </w:tabs>
        <w:ind w:left="960"/>
        <w:rPr>
          <w:rFonts w:eastAsia="標楷體"/>
        </w:rPr>
      </w:pPr>
      <w:r w:rsidRPr="00204639">
        <w:rPr>
          <w:rFonts w:eastAsia="標楷體"/>
        </w:rPr>
        <w:t>10</w:t>
      </w:r>
      <w:r>
        <w:rPr>
          <w:rFonts w:eastAsia="標楷體" w:hint="eastAsia"/>
        </w:rPr>
        <w:t>5</w:t>
      </w:r>
      <w:r w:rsidRPr="00204639">
        <w:rPr>
          <w:rFonts w:eastAsia="標楷體"/>
        </w:rPr>
        <w:t>學年度公共事務學系大學部修讀輔系科目學分表如下。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2693"/>
      </w:tblGrid>
      <w:tr w:rsidR="005A078D" w:rsidRPr="00204639" w:rsidTr="00182805">
        <w:trPr>
          <w:trHeight w:val="510"/>
          <w:jc w:val="center"/>
        </w:trPr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學系</w:t>
            </w: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輔系修讀科目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學分數</w:t>
            </w:r>
          </w:p>
        </w:tc>
        <w:tc>
          <w:tcPr>
            <w:tcW w:w="2693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備註</w:t>
            </w: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 w:val="restart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公共事務學系</w:t>
            </w: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政治學</w:t>
            </w:r>
            <w:r w:rsidRPr="00204639">
              <w:rPr>
                <w:rFonts w:eastAsia="標楷體"/>
              </w:rPr>
              <w:t>(</w:t>
            </w:r>
            <w:proofErr w:type="gramStart"/>
            <w:r w:rsidRPr="00204639">
              <w:rPr>
                <w:rFonts w:eastAsia="標楷體"/>
              </w:rPr>
              <w:t>一</w:t>
            </w:r>
            <w:proofErr w:type="gramEnd"/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vMerge w:val="restart"/>
          </w:tcPr>
          <w:p w:rsidR="005A078D" w:rsidRDefault="005A078D" w:rsidP="005A078D">
            <w:pPr>
              <w:numPr>
                <w:ilvl w:val="1"/>
                <w:numId w:val="2"/>
              </w:numPr>
              <w:spacing w:line="280" w:lineRule="exact"/>
              <w:ind w:left="531" w:hanging="5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經本系同意以本系為</w:t>
            </w:r>
            <w:proofErr w:type="gramStart"/>
            <w:r>
              <w:rPr>
                <w:rFonts w:eastAsia="標楷體" w:hint="eastAsia"/>
              </w:rPr>
              <w:t>輔系者</w:t>
            </w:r>
            <w:proofErr w:type="gramEnd"/>
            <w:r>
              <w:rPr>
                <w:rFonts w:eastAsia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上開輔系</w:t>
            </w:r>
            <w:proofErr w:type="gramEnd"/>
            <w:r>
              <w:rPr>
                <w:rFonts w:eastAsia="標楷體" w:hint="eastAsia"/>
              </w:rPr>
              <w:t>科目若在</w:t>
            </w:r>
            <w:proofErr w:type="gramStart"/>
            <w:r>
              <w:rPr>
                <w:rFonts w:eastAsia="標楷體" w:hint="eastAsia"/>
              </w:rPr>
              <w:t>其原學系</w:t>
            </w:r>
            <w:proofErr w:type="gramEnd"/>
            <w:r>
              <w:rPr>
                <w:rFonts w:eastAsia="標楷體" w:hint="eastAsia"/>
              </w:rPr>
              <w:t>已屬</w:t>
            </w:r>
            <w:proofErr w:type="gramStart"/>
            <w:r>
              <w:rPr>
                <w:rFonts w:eastAsia="標楷體" w:hint="eastAsia"/>
              </w:rPr>
              <w:t>必修或必選</w:t>
            </w:r>
            <w:proofErr w:type="gramEnd"/>
            <w:r>
              <w:rPr>
                <w:rFonts w:eastAsia="標楷體" w:hint="eastAsia"/>
              </w:rPr>
              <w:t>，且已及格取得學分，不必重複修習，但得由本系主任指定相關課程代替輔系所需學分。</w:t>
            </w:r>
          </w:p>
          <w:p w:rsidR="005A078D" w:rsidRDefault="005A078D" w:rsidP="005A078D">
            <w:pPr>
              <w:numPr>
                <w:ilvl w:val="1"/>
                <w:numId w:val="2"/>
              </w:numPr>
              <w:spacing w:line="280" w:lineRule="exact"/>
              <w:ind w:left="531" w:hanging="5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事先應徵求本系同意並接受本系輔導選課。</w:t>
            </w:r>
          </w:p>
          <w:p w:rsidR="005A078D" w:rsidRPr="00204639" w:rsidRDefault="005A078D" w:rsidP="005A078D">
            <w:pPr>
              <w:numPr>
                <w:ilvl w:val="1"/>
                <w:numId w:val="2"/>
              </w:numPr>
              <w:spacing w:line="280" w:lineRule="exact"/>
              <w:ind w:left="531" w:hanging="5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本系</w:t>
            </w:r>
            <w:proofErr w:type="gramStart"/>
            <w:r>
              <w:rPr>
                <w:rFonts w:eastAsia="標楷體" w:hint="eastAsia"/>
              </w:rPr>
              <w:t>上開輔系</w:t>
            </w:r>
            <w:proofErr w:type="gramEnd"/>
            <w:r>
              <w:rPr>
                <w:rFonts w:eastAsia="標楷體" w:hint="eastAsia"/>
              </w:rPr>
              <w:t>核心課程規劃均屬國家考試及相關研究所入學考試種要科目。</w:t>
            </w: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政治學</w:t>
            </w:r>
            <w:r w:rsidRPr="00204639">
              <w:rPr>
                <w:rFonts w:eastAsia="標楷體"/>
              </w:rPr>
              <w:t>(</w:t>
            </w:r>
            <w:r w:rsidRPr="00204639">
              <w:rPr>
                <w:rFonts w:eastAsia="標楷體"/>
              </w:rPr>
              <w:t>二</w:t>
            </w:r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行政學</w:t>
            </w:r>
            <w:r w:rsidRPr="00204639">
              <w:rPr>
                <w:rFonts w:eastAsia="標楷體"/>
              </w:rPr>
              <w:t>(</w:t>
            </w:r>
            <w:proofErr w:type="gramStart"/>
            <w:r w:rsidRPr="00204639">
              <w:rPr>
                <w:rFonts w:eastAsia="標楷體"/>
              </w:rPr>
              <w:t>一</w:t>
            </w:r>
            <w:proofErr w:type="gramEnd"/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3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行政</w:t>
            </w:r>
            <w:bookmarkStart w:id="0" w:name="_GoBack"/>
            <w:bookmarkEnd w:id="0"/>
            <w:r w:rsidRPr="00204639">
              <w:rPr>
                <w:rFonts w:eastAsia="標楷體"/>
              </w:rPr>
              <w:t>學</w:t>
            </w:r>
            <w:r w:rsidRPr="00204639">
              <w:rPr>
                <w:rFonts w:eastAsia="標楷體"/>
              </w:rPr>
              <w:t>(</w:t>
            </w:r>
            <w:r w:rsidRPr="00204639">
              <w:rPr>
                <w:rFonts w:eastAsia="標楷體"/>
              </w:rPr>
              <w:t>二</w:t>
            </w:r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3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行政法</w:t>
            </w:r>
            <w:r w:rsidRPr="00204639">
              <w:rPr>
                <w:rFonts w:eastAsia="標楷體"/>
              </w:rPr>
              <w:t>(</w:t>
            </w:r>
            <w:proofErr w:type="gramStart"/>
            <w:r w:rsidRPr="00204639">
              <w:rPr>
                <w:rFonts w:eastAsia="標楷體"/>
              </w:rPr>
              <w:t>一</w:t>
            </w:r>
            <w:proofErr w:type="gramEnd"/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行政法</w:t>
            </w:r>
            <w:r w:rsidRPr="00204639">
              <w:rPr>
                <w:rFonts w:eastAsia="標楷體"/>
              </w:rPr>
              <w:t>(</w:t>
            </w:r>
            <w:r w:rsidRPr="00204639">
              <w:rPr>
                <w:rFonts w:eastAsia="標楷體"/>
              </w:rPr>
              <w:t>二</w:t>
            </w:r>
            <w:r w:rsidRPr="00204639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公共政策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公共政策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公共管理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公共管理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A078D" w:rsidRPr="00204639" w:rsidTr="00182805">
        <w:trPr>
          <w:trHeight w:val="510"/>
          <w:jc w:val="center"/>
        </w:trPr>
        <w:tc>
          <w:tcPr>
            <w:tcW w:w="2410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 w:rsidRPr="00204639">
              <w:rPr>
                <w:rFonts w:eastAsia="標楷體"/>
              </w:rPr>
              <w:t>合計</w:t>
            </w:r>
          </w:p>
        </w:tc>
        <w:tc>
          <w:tcPr>
            <w:tcW w:w="1134" w:type="dxa"/>
            <w:vAlign w:val="center"/>
          </w:tcPr>
          <w:p w:rsidR="005A078D" w:rsidRPr="00204639" w:rsidRDefault="005A078D" w:rsidP="0018280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693" w:type="dxa"/>
            <w:vMerge/>
          </w:tcPr>
          <w:p w:rsidR="005A078D" w:rsidRPr="00204639" w:rsidRDefault="005A078D" w:rsidP="00B06320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5A078D" w:rsidRPr="00204639" w:rsidRDefault="005A078D" w:rsidP="005A078D">
      <w:pPr>
        <w:spacing w:beforeLines="50" w:before="180" w:line="400" w:lineRule="exact"/>
        <w:ind w:leftChars="205" w:left="1562" w:hangingChars="382" w:hanging="1070"/>
        <w:rPr>
          <w:rFonts w:eastAsia="標楷體"/>
          <w:sz w:val="28"/>
          <w:szCs w:val="28"/>
        </w:rPr>
      </w:pPr>
    </w:p>
    <w:p w:rsidR="000D25F5" w:rsidRPr="005A078D" w:rsidRDefault="000D25F5"/>
    <w:sectPr w:rsidR="000D25F5" w:rsidRPr="005A0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A17"/>
    <w:multiLevelType w:val="hybridMultilevel"/>
    <w:tmpl w:val="01706386"/>
    <w:lvl w:ilvl="0" w:tplc="4A58838A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74F678C2">
      <w:start w:val="1"/>
      <w:numFmt w:val="taiwaneseCountingThousand"/>
      <w:lvlText w:val="提案%2、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2" w:tplc="CE4E3804">
      <w:start w:val="2"/>
      <w:numFmt w:val="taiwaneseCountingThousand"/>
      <w:lvlText w:val="%3、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6D6ADB"/>
    <w:multiLevelType w:val="hybridMultilevel"/>
    <w:tmpl w:val="8744B3EE"/>
    <w:lvl w:ilvl="0" w:tplc="EF16CE22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38A2156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C9521A3"/>
    <w:multiLevelType w:val="hybridMultilevel"/>
    <w:tmpl w:val="D220A9F4"/>
    <w:lvl w:ilvl="0" w:tplc="8990DDD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8D"/>
    <w:rsid w:val="000D25F5"/>
    <w:rsid w:val="00182805"/>
    <w:rsid w:val="003E1DBF"/>
    <w:rsid w:val="00544A9D"/>
    <w:rsid w:val="005A078D"/>
    <w:rsid w:val="00B47D3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3F019-3D2E-4330-A1CD-B80F42B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mcu</cp:lastModifiedBy>
  <cp:revision>2</cp:revision>
  <dcterms:created xsi:type="dcterms:W3CDTF">2017-07-18T04:50:00Z</dcterms:created>
  <dcterms:modified xsi:type="dcterms:W3CDTF">2017-07-18T04:50:00Z</dcterms:modified>
</cp:coreProperties>
</file>